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240D" w14:textId="079A5EAE" w:rsidR="00697221" w:rsidRDefault="007701DA" w:rsidP="00110BD0">
      <w:pPr>
        <w:widowControl w:val="0"/>
        <w:jc w:val="center"/>
        <w:rPr>
          <w:rFonts w:cs="Arial"/>
          <w:b/>
          <w:sz w:val="32"/>
          <w:szCs w:val="32"/>
        </w:rPr>
      </w:pPr>
      <w:r>
        <w:rPr>
          <w:rFonts w:cs="Arial"/>
          <w:b/>
          <w:sz w:val="32"/>
          <w:szCs w:val="32"/>
        </w:rPr>
        <w:t>Reforestation Project</w:t>
      </w:r>
    </w:p>
    <w:p w14:paraId="0009230D" w14:textId="77A7CD4E" w:rsidR="000C3173" w:rsidRDefault="000C3173" w:rsidP="00110BD0">
      <w:pPr>
        <w:widowControl w:val="0"/>
        <w:jc w:val="center"/>
        <w:rPr>
          <w:rFonts w:cs="Arial"/>
          <w:b/>
          <w:sz w:val="32"/>
          <w:szCs w:val="32"/>
        </w:rPr>
      </w:pPr>
      <w:r>
        <w:rPr>
          <w:rFonts w:cs="Arial"/>
          <w:b/>
          <w:sz w:val="32"/>
          <w:szCs w:val="32"/>
        </w:rPr>
        <w:t>Conservation Easement Screening Form</w:t>
      </w:r>
    </w:p>
    <w:p w14:paraId="6360BD25" w14:textId="2F1621AB" w:rsidR="00D500D1" w:rsidRPr="00D703A2" w:rsidRDefault="00D500D1" w:rsidP="00110BD0">
      <w:pPr>
        <w:widowControl w:val="0"/>
        <w:jc w:val="center"/>
        <w:rPr>
          <w:rFonts w:cs="Arial"/>
          <w:bCs/>
          <w:i/>
          <w:iCs/>
          <w:sz w:val="24"/>
        </w:rPr>
      </w:pPr>
      <w:r w:rsidRPr="00D703A2">
        <w:rPr>
          <w:rFonts w:cs="Arial"/>
          <w:bCs/>
          <w:i/>
          <w:iCs/>
          <w:sz w:val="24"/>
        </w:rPr>
        <w:t xml:space="preserve">For use with Reforestation Forecast Methodology </w:t>
      </w:r>
      <w:r w:rsidR="003D0A0E">
        <w:rPr>
          <w:rFonts w:cs="Arial"/>
          <w:bCs/>
          <w:i/>
          <w:iCs/>
          <w:sz w:val="24"/>
        </w:rPr>
        <w:t>v</w:t>
      </w:r>
      <w:r w:rsidRPr="00D703A2">
        <w:rPr>
          <w:rFonts w:cs="Arial"/>
          <w:bCs/>
          <w:i/>
          <w:iCs/>
          <w:sz w:val="24"/>
        </w:rPr>
        <w:t>2.0</w:t>
      </w:r>
    </w:p>
    <w:p w14:paraId="3398240E"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521BEB" w:rsidRPr="00CB53CC" w14:paraId="33982411" w14:textId="77777777" w:rsidTr="00CC6FF7">
        <w:trPr>
          <w:trHeight w:val="292"/>
          <w:jc w:val="center"/>
        </w:trPr>
        <w:tc>
          <w:tcPr>
            <w:tcW w:w="4407"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0F" w14:textId="271B126F" w:rsidR="00521BEB" w:rsidRPr="00CB53CC" w:rsidRDefault="00256597" w:rsidP="00110BD0">
            <w:pPr>
              <w:widowControl w:val="0"/>
              <w:spacing w:before="60" w:after="60"/>
              <w:rPr>
                <w:rFonts w:cs="Arial"/>
                <w:b/>
                <w:szCs w:val="20"/>
              </w:rPr>
            </w:pPr>
            <w:r>
              <w:rPr>
                <w:rFonts w:cs="Arial"/>
                <w:b/>
                <w:szCs w:val="20"/>
              </w:rPr>
              <w:t>Project Proponent</w:t>
            </w:r>
            <w:r w:rsidR="00521BEB" w:rsidRPr="00CB53CC">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D6E3BC" w:themeFill="accent3" w:themeFillTint="66"/>
          </w:tcPr>
          <w:p w14:paraId="33982410" w14:textId="77777777" w:rsidR="00521BEB" w:rsidRPr="0012016A" w:rsidRDefault="00195A6E" w:rsidP="00CC6FF7">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F37E36" w:rsidRPr="00CB53CC" w14:paraId="33982414"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2" w14:textId="4521222A" w:rsidR="00F37E36" w:rsidRPr="00CB53CC" w:rsidRDefault="00F37E36" w:rsidP="00110BD0">
            <w:pPr>
              <w:widowControl w:val="0"/>
              <w:spacing w:before="60" w:after="60"/>
              <w:rPr>
                <w:rFonts w:cs="Arial"/>
                <w:b/>
                <w:szCs w:val="20"/>
              </w:rPr>
            </w:pPr>
            <w:r w:rsidRPr="00CB53CC">
              <w:rPr>
                <w:rFonts w:cs="Arial"/>
                <w:b/>
                <w:szCs w:val="20"/>
              </w:rPr>
              <w:t>Project</w:t>
            </w:r>
            <w:r w:rsidR="00A15309">
              <w:rPr>
                <w:rFonts w:cs="Arial"/>
                <w:b/>
                <w:szCs w:val="20"/>
              </w:rPr>
              <w:t xml:space="preserve"> </w:t>
            </w:r>
            <w:r w:rsidR="003D51AE">
              <w:rPr>
                <w:rFonts w:cs="Arial"/>
                <w:b/>
                <w:szCs w:val="20"/>
              </w:rPr>
              <w:t>Name</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3" w14:textId="77777777" w:rsidR="00F37E36" w:rsidRPr="00AA612E" w:rsidRDefault="00195A6E" w:rsidP="00AA612E">
            <w:pPr>
              <w:widowControl w:val="0"/>
              <w:spacing w:before="60" w:after="6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p>
        </w:tc>
      </w:tr>
      <w:tr w:rsidR="007D3EC6" w:rsidRPr="00CB53CC" w14:paraId="33982417"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15" w14:textId="03D483FE" w:rsidR="007D3EC6" w:rsidRPr="00CB53CC" w:rsidRDefault="007D3EC6" w:rsidP="007D3EC6">
            <w:pPr>
              <w:widowControl w:val="0"/>
              <w:spacing w:before="60" w:after="60"/>
              <w:rPr>
                <w:rFonts w:cs="Arial"/>
                <w:b/>
                <w:szCs w:val="20"/>
              </w:rPr>
            </w:pPr>
            <w:r w:rsidRPr="00CB53CC">
              <w:rPr>
                <w:rFonts w:cs="Arial"/>
                <w:b/>
                <w:szCs w:val="20"/>
              </w:rPr>
              <w:t>Project</w:t>
            </w:r>
            <w:r>
              <w:rPr>
                <w:rFonts w:cs="Arial"/>
                <w:b/>
                <w:szCs w:val="20"/>
              </w:rPr>
              <w:t xml:space="preserve"> </w:t>
            </w:r>
            <w:r w:rsidR="00A66875">
              <w:rPr>
                <w:rFonts w:cs="Arial"/>
                <w:b/>
                <w:szCs w:val="20"/>
              </w:rPr>
              <w:t>ID</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16" w14:textId="59B784F6" w:rsidR="007D3EC6" w:rsidRPr="00834CDA" w:rsidRDefault="007D3EC6" w:rsidP="007D3EC6">
            <w:pPr>
              <w:widowControl w:val="0"/>
              <w:spacing w:before="60" w:after="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33982428" w14:textId="77777777" w:rsidTr="00D42546">
        <w:trPr>
          <w:trHeight w:val="238"/>
          <w:jc w:val="center"/>
        </w:trPr>
        <w:tc>
          <w:tcPr>
            <w:tcW w:w="4407" w:type="dxa"/>
            <w:tcBorders>
              <w:top w:val="single" w:sz="2" w:space="0" w:color="auto"/>
              <w:left w:val="single" w:sz="2" w:space="0" w:color="auto"/>
              <w:bottom w:val="single" w:sz="2" w:space="0" w:color="auto"/>
            </w:tcBorders>
            <w:shd w:val="clear" w:color="auto" w:fill="D6E3BC" w:themeFill="accent3" w:themeFillTint="66"/>
          </w:tcPr>
          <w:p w14:paraId="33982426" w14:textId="77777777" w:rsidR="00521BEB" w:rsidRPr="00CB53CC" w:rsidRDefault="00521BEB" w:rsidP="00110BD0">
            <w:pPr>
              <w:widowControl w:val="0"/>
              <w:spacing w:before="60" w:after="60"/>
              <w:rPr>
                <w:rFonts w:cs="Arial"/>
                <w:b/>
                <w:szCs w:val="20"/>
              </w:rPr>
            </w:pPr>
            <w:r w:rsidRPr="00CB53CC">
              <w:rPr>
                <w:rFonts w:cs="Arial"/>
                <w:b/>
                <w:szCs w:val="20"/>
              </w:rPr>
              <w:t>Date:</w:t>
            </w:r>
          </w:p>
        </w:tc>
        <w:tc>
          <w:tcPr>
            <w:tcW w:w="6219" w:type="dxa"/>
            <w:tcBorders>
              <w:top w:val="single" w:sz="2" w:space="0" w:color="auto"/>
              <w:bottom w:val="single" w:sz="2" w:space="0" w:color="auto"/>
              <w:right w:val="single" w:sz="2" w:space="0" w:color="auto"/>
            </w:tcBorders>
            <w:shd w:val="clear" w:color="auto" w:fill="D6E3BC" w:themeFill="accent3" w:themeFillTint="66"/>
          </w:tcPr>
          <w:p w14:paraId="33982427"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0"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0"/>
          </w:p>
        </w:tc>
      </w:tr>
    </w:tbl>
    <w:p w14:paraId="339824C5" w14:textId="0294D7CD" w:rsidR="00B65814" w:rsidRDefault="00B65814" w:rsidP="00110BD0">
      <w:pPr>
        <w:widowControl w:val="0"/>
        <w:tabs>
          <w:tab w:val="left" w:pos="960"/>
        </w:tabs>
        <w:rPr>
          <w:rFonts w:cs="Arial"/>
          <w:szCs w:val="20"/>
        </w:rPr>
      </w:pPr>
    </w:p>
    <w:p w14:paraId="2F704F09" w14:textId="41073404" w:rsidR="00FB1AC6" w:rsidRDefault="008A75F3" w:rsidP="000A36BD">
      <w:pPr>
        <w:widowControl w:val="0"/>
        <w:tabs>
          <w:tab w:val="left" w:pos="960"/>
        </w:tabs>
        <w:ind w:left="90"/>
        <w:rPr>
          <w:rFonts w:cs="Arial"/>
          <w:color w:val="FF0000"/>
          <w:szCs w:val="20"/>
        </w:rPr>
      </w:pPr>
      <w:r w:rsidRPr="008A75F3">
        <w:rPr>
          <w:rFonts w:cs="Arial"/>
          <w:color w:val="FF0000"/>
          <w:szCs w:val="20"/>
          <w:u w:val="single"/>
        </w:rPr>
        <w:t>Instructions</w:t>
      </w:r>
      <w:r w:rsidRPr="004D40EB">
        <w:rPr>
          <w:rFonts w:cs="Arial"/>
          <w:color w:val="FF0000"/>
          <w:szCs w:val="20"/>
        </w:rPr>
        <w:t>:</w:t>
      </w:r>
      <w:r>
        <w:rPr>
          <w:rFonts w:cs="Arial"/>
          <w:color w:val="FF0000"/>
          <w:szCs w:val="20"/>
        </w:rPr>
        <w:t xml:space="preserve"> </w:t>
      </w:r>
      <w:r w:rsidR="00FB1AC6" w:rsidRPr="003C601F">
        <w:rPr>
          <w:rFonts w:cs="Arial"/>
          <w:color w:val="FF0000"/>
          <w:szCs w:val="20"/>
        </w:rPr>
        <w:t xml:space="preserve">Please fill out the “Easement Location” column to indicate where each requirement can be found in the conservation easement. </w:t>
      </w:r>
      <w:r w:rsidR="000A36BD">
        <w:rPr>
          <w:rFonts w:cs="Arial"/>
          <w:color w:val="FF0000"/>
          <w:szCs w:val="20"/>
        </w:rPr>
        <w:t xml:space="preserve">In the “Justification” column, please provide a description of </w:t>
      </w:r>
      <w:r w:rsidR="000A36BD" w:rsidRPr="000A36BD">
        <w:rPr>
          <w:rFonts w:cs="Arial"/>
          <w:color w:val="FF0000"/>
          <w:szCs w:val="20"/>
        </w:rPr>
        <w:t>how the referenced easement terms satisfy the</w:t>
      </w:r>
      <w:r w:rsidR="007E1B2A">
        <w:rPr>
          <w:rFonts w:cs="Arial"/>
          <w:color w:val="FF0000"/>
          <w:szCs w:val="20"/>
        </w:rPr>
        <w:t xml:space="preserve"> specified</w:t>
      </w:r>
      <w:r w:rsidR="000A36BD" w:rsidRPr="000A36BD">
        <w:rPr>
          <w:rFonts w:cs="Arial"/>
          <w:color w:val="FF0000"/>
          <w:szCs w:val="20"/>
        </w:rPr>
        <w:t xml:space="preserve"> requirement</w:t>
      </w:r>
      <w:r w:rsidR="000A36BD">
        <w:rPr>
          <w:rFonts w:cs="Arial"/>
          <w:color w:val="FF0000"/>
          <w:szCs w:val="20"/>
        </w:rPr>
        <w:t>.</w:t>
      </w:r>
      <w:r w:rsidR="006A42E8">
        <w:rPr>
          <w:rFonts w:cs="Arial"/>
          <w:color w:val="FF0000"/>
          <w:szCs w:val="20"/>
        </w:rPr>
        <w:t xml:space="preserve"> This information will be used </w:t>
      </w:r>
      <w:r w:rsidR="001D3271">
        <w:rPr>
          <w:rFonts w:cs="Arial"/>
          <w:color w:val="FF0000"/>
          <w:szCs w:val="20"/>
        </w:rPr>
        <w:t xml:space="preserve">to confirm eligibility for the application of tonne-year accounting or </w:t>
      </w:r>
      <w:r w:rsidR="00D34300">
        <w:rPr>
          <w:rFonts w:cs="Arial"/>
          <w:color w:val="FF0000"/>
          <w:szCs w:val="20"/>
        </w:rPr>
        <w:t>the crediting period extension under tonne-year accounting</w:t>
      </w:r>
      <w:r w:rsidR="006A42E8">
        <w:rPr>
          <w:rFonts w:cs="Arial"/>
          <w:color w:val="FF0000"/>
          <w:szCs w:val="20"/>
        </w:rPr>
        <w:t>.</w:t>
      </w:r>
      <w:r w:rsidR="001C1753">
        <w:rPr>
          <w:rFonts w:cs="Arial"/>
          <w:color w:val="FF0000"/>
          <w:szCs w:val="20"/>
        </w:rPr>
        <w:t xml:space="preserve"> </w:t>
      </w:r>
      <w:r w:rsidR="006A42E8">
        <w:rPr>
          <w:rFonts w:cs="Arial"/>
          <w:color w:val="FF0000"/>
          <w:szCs w:val="20"/>
        </w:rPr>
        <w:t>T</w:t>
      </w:r>
      <w:r w:rsidR="001C1753" w:rsidRPr="001C1753">
        <w:rPr>
          <w:rFonts w:cs="Arial"/>
          <w:color w:val="FF0000"/>
          <w:szCs w:val="20"/>
        </w:rPr>
        <w:t>he project’s easement provisions referenced in th</w:t>
      </w:r>
      <w:r w:rsidR="00304477">
        <w:rPr>
          <w:rFonts w:cs="Arial"/>
          <w:color w:val="FF0000"/>
          <w:szCs w:val="20"/>
        </w:rPr>
        <w:t>is</w:t>
      </w:r>
      <w:r w:rsidR="001C1753" w:rsidRPr="001C1753">
        <w:rPr>
          <w:rFonts w:cs="Arial"/>
          <w:color w:val="FF0000"/>
          <w:szCs w:val="20"/>
        </w:rPr>
        <w:t xml:space="preserve"> form should be updated as needed for final registration to reference provisions as they appear in the final recorded easement.</w:t>
      </w:r>
    </w:p>
    <w:p w14:paraId="019B3500" w14:textId="77777777" w:rsidR="000A36BD" w:rsidRDefault="000A36BD" w:rsidP="000A36BD">
      <w:pPr>
        <w:widowControl w:val="0"/>
        <w:tabs>
          <w:tab w:val="left" w:pos="960"/>
        </w:tabs>
        <w:ind w:left="90"/>
        <w:rPr>
          <w:rFonts w:cs="Arial"/>
          <w:szCs w:val="20"/>
        </w:rPr>
      </w:pPr>
    </w:p>
    <w:tbl>
      <w:tblPr>
        <w:tblStyle w:val="TableGrid"/>
        <w:tblW w:w="0" w:type="auto"/>
        <w:tblInd w:w="85" w:type="dxa"/>
        <w:tblLook w:val="04A0" w:firstRow="1" w:lastRow="0" w:firstColumn="1" w:lastColumn="0" w:noHBand="0" w:noVBand="1"/>
      </w:tblPr>
      <w:tblGrid>
        <w:gridCol w:w="4320"/>
        <w:gridCol w:w="2070"/>
        <w:gridCol w:w="4230"/>
      </w:tblGrid>
      <w:tr w:rsidR="000A36BD" w:rsidRPr="00B12417" w14:paraId="0D53BC5E" w14:textId="77777777" w:rsidTr="004D40EB">
        <w:trPr>
          <w:trHeight w:val="377"/>
          <w:tblHeader/>
        </w:trPr>
        <w:tc>
          <w:tcPr>
            <w:tcW w:w="4320" w:type="dxa"/>
            <w:shd w:val="clear" w:color="auto" w:fill="B8CCE4" w:themeFill="accent1" w:themeFillTint="66"/>
            <w:vAlign w:val="center"/>
          </w:tcPr>
          <w:p w14:paraId="033B409B" w14:textId="1B42F64C" w:rsidR="000A36BD" w:rsidRPr="00B12417" w:rsidRDefault="000A36BD" w:rsidP="004D40EB">
            <w:pPr>
              <w:rPr>
                <w:rFonts w:cs="Arial"/>
                <w:b/>
                <w:bCs/>
              </w:rPr>
            </w:pPr>
            <w:r>
              <w:rPr>
                <w:rFonts w:cs="Arial"/>
                <w:b/>
                <w:bCs/>
              </w:rPr>
              <w:t xml:space="preserve">Methodology </w:t>
            </w:r>
            <w:r w:rsidRPr="00B12417">
              <w:rPr>
                <w:rFonts w:cs="Arial"/>
                <w:b/>
                <w:bCs/>
              </w:rPr>
              <w:t>Requirement</w:t>
            </w:r>
          </w:p>
        </w:tc>
        <w:tc>
          <w:tcPr>
            <w:tcW w:w="2070" w:type="dxa"/>
            <w:shd w:val="clear" w:color="auto" w:fill="B8CCE4" w:themeFill="accent1" w:themeFillTint="66"/>
            <w:vAlign w:val="center"/>
          </w:tcPr>
          <w:p w14:paraId="53EC0C8A" w14:textId="77777777" w:rsidR="000A36BD" w:rsidRPr="00B12417" w:rsidRDefault="000A36BD" w:rsidP="004D40EB">
            <w:pPr>
              <w:rPr>
                <w:rFonts w:cs="Arial"/>
                <w:b/>
                <w:bCs/>
              </w:rPr>
            </w:pPr>
            <w:r w:rsidRPr="00B12417">
              <w:rPr>
                <w:rFonts w:cs="Arial"/>
                <w:b/>
                <w:bCs/>
              </w:rPr>
              <w:t>Easement Location</w:t>
            </w:r>
          </w:p>
        </w:tc>
        <w:tc>
          <w:tcPr>
            <w:tcW w:w="4230" w:type="dxa"/>
            <w:shd w:val="clear" w:color="auto" w:fill="B8CCE4" w:themeFill="accent1" w:themeFillTint="66"/>
            <w:vAlign w:val="center"/>
          </w:tcPr>
          <w:p w14:paraId="21A9E21A" w14:textId="705E38D2" w:rsidR="000A36BD" w:rsidRPr="00B12417" w:rsidRDefault="000A36BD" w:rsidP="004D40EB">
            <w:pPr>
              <w:rPr>
                <w:rFonts w:cs="Arial"/>
                <w:b/>
                <w:bCs/>
              </w:rPr>
            </w:pPr>
            <w:r>
              <w:rPr>
                <w:rFonts w:cs="Arial"/>
                <w:b/>
                <w:bCs/>
              </w:rPr>
              <w:t>Justification</w:t>
            </w:r>
          </w:p>
        </w:tc>
      </w:tr>
      <w:tr w:rsidR="00632B21" w:rsidRPr="00B12417" w14:paraId="72C15C7F" w14:textId="77777777" w:rsidTr="00263364">
        <w:tc>
          <w:tcPr>
            <w:tcW w:w="4320" w:type="dxa"/>
            <w:shd w:val="clear" w:color="auto" w:fill="E1E9F3"/>
          </w:tcPr>
          <w:p w14:paraId="776143A0" w14:textId="77777777" w:rsidR="00632B21" w:rsidRDefault="00632B21" w:rsidP="004D40EB">
            <w:pPr>
              <w:pStyle w:val="ListParagraph"/>
              <w:numPr>
                <w:ilvl w:val="0"/>
                <w:numId w:val="39"/>
              </w:numPr>
              <w:spacing w:after="60"/>
              <w:rPr>
                <w:rFonts w:cs="Arial"/>
              </w:rPr>
            </w:pPr>
            <w:r w:rsidRPr="000B4C88">
              <w:rPr>
                <w:rFonts w:cs="Arial"/>
              </w:rPr>
              <w:t xml:space="preserve">Statement indicating that the easement </w:t>
            </w:r>
            <w:r>
              <w:rPr>
                <w:rFonts w:cs="Arial"/>
              </w:rPr>
              <w:t xml:space="preserve">is </w:t>
            </w:r>
            <w:r w:rsidRPr="000B4C88">
              <w:rPr>
                <w:rFonts w:cs="Arial"/>
              </w:rPr>
              <w:t>granted pursuant to the state enabling statute for conservation easements for the state in which the project is located (e.g., California Civil Code Section 815)</w:t>
            </w:r>
            <w:r>
              <w:rPr>
                <w:rFonts w:cs="Arial"/>
              </w:rPr>
              <w:t xml:space="preserve">. </w:t>
            </w:r>
          </w:p>
          <w:p w14:paraId="79E0A7A0" w14:textId="77777777" w:rsidR="00632B21" w:rsidRPr="0054234A" w:rsidRDefault="00632B21" w:rsidP="004D40EB">
            <w:pPr>
              <w:pStyle w:val="ListParagraph"/>
              <w:spacing w:after="60"/>
              <w:ind w:left="360"/>
              <w:rPr>
                <w:rFonts w:cs="Arial"/>
              </w:rPr>
            </w:pPr>
          </w:p>
          <w:p w14:paraId="7812A672" w14:textId="1205FC08" w:rsidR="00632B21" w:rsidRPr="00BA674C" w:rsidRDefault="00632B21" w:rsidP="004D40EB">
            <w:pPr>
              <w:pStyle w:val="ListParagraph"/>
              <w:spacing w:after="60"/>
              <w:ind w:left="360"/>
              <w:rPr>
                <w:rFonts w:cs="Arial"/>
              </w:rPr>
            </w:pPr>
            <w:r>
              <w:t>If the easement is granted to a non-governmental agency, the easement holder must be accredited by the Land Trust Alliance (or a similar entity if in a jurisdiction where the Land Trust Alliance does not operate).</w:t>
            </w:r>
          </w:p>
        </w:tc>
        <w:tc>
          <w:tcPr>
            <w:tcW w:w="2070" w:type="dxa"/>
          </w:tcPr>
          <w:p w14:paraId="7E8861D1" w14:textId="45510F92"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511D7940" w14:textId="51CF3239"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56009771" w14:textId="77777777" w:rsidTr="00263364">
        <w:tc>
          <w:tcPr>
            <w:tcW w:w="4320" w:type="dxa"/>
            <w:shd w:val="clear" w:color="auto" w:fill="E1E9F3"/>
          </w:tcPr>
          <w:p w14:paraId="3533A422" w14:textId="771EFE49" w:rsidR="00E33E5B" w:rsidRDefault="00632B21" w:rsidP="004D40EB">
            <w:pPr>
              <w:pStyle w:val="ListParagraph"/>
              <w:numPr>
                <w:ilvl w:val="0"/>
                <w:numId w:val="39"/>
              </w:numPr>
              <w:spacing w:after="60"/>
              <w:rPr>
                <w:rFonts w:cs="Arial"/>
              </w:rPr>
            </w:pPr>
            <w:r w:rsidRPr="00BA674C">
              <w:rPr>
                <w:rFonts w:cs="Arial"/>
              </w:rPr>
              <w:t>The easement must dedicate the project area to forest cover</w:t>
            </w:r>
            <w:r w:rsidR="00124432">
              <w:rPr>
                <w:rFonts w:cs="Arial"/>
              </w:rPr>
              <w:t xml:space="preserve">: </w:t>
            </w:r>
          </w:p>
          <w:p w14:paraId="2E2C8E5D" w14:textId="18FFE2B0" w:rsidR="00E33E5B" w:rsidRDefault="00E33E5B" w:rsidP="004D40EB">
            <w:pPr>
              <w:pStyle w:val="ListParagraph"/>
              <w:numPr>
                <w:ilvl w:val="1"/>
                <w:numId w:val="39"/>
              </w:numPr>
              <w:spacing w:after="60"/>
              <w:ind w:left="792"/>
              <w:rPr>
                <w:rFonts w:cs="Arial"/>
              </w:rPr>
            </w:pPr>
            <w:r>
              <w:t xml:space="preserve">At least until </w:t>
            </w:r>
            <w:r w:rsidR="000E60B8">
              <w:t xml:space="preserve">the </w:t>
            </w:r>
            <w:r>
              <w:rPr>
                <w:rFonts w:cs="Arial"/>
              </w:rPr>
              <w:t>end</w:t>
            </w:r>
            <w:r w:rsidRPr="00BA674C">
              <w:rPr>
                <w:rFonts w:cs="Arial"/>
              </w:rPr>
              <w:t xml:space="preserve"> of the crediting period</w:t>
            </w:r>
            <w:r>
              <w:rPr>
                <w:rFonts w:cs="Arial"/>
              </w:rPr>
              <w:t>, for a tonne-year accounting crediting period extension.</w:t>
            </w:r>
          </w:p>
          <w:p w14:paraId="606E091C" w14:textId="0C9DDB48" w:rsidR="00632B21" w:rsidRPr="000B4C88" w:rsidRDefault="007B0FA0" w:rsidP="004D40EB">
            <w:pPr>
              <w:pStyle w:val="ListParagraph"/>
              <w:numPr>
                <w:ilvl w:val="1"/>
                <w:numId w:val="39"/>
              </w:numPr>
              <w:spacing w:after="60"/>
              <w:ind w:left="792"/>
              <w:rPr>
                <w:rFonts w:cs="Arial"/>
              </w:rPr>
            </w:pPr>
            <w:r>
              <w:rPr>
                <w:rFonts w:cs="Arial"/>
              </w:rPr>
              <w:t>For a</w:t>
            </w:r>
            <w:r w:rsidR="00632B21">
              <w:rPr>
                <w:rFonts w:cs="Arial"/>
              </w:rPr>
              <w:t xml:space="preserve">t least 200 years, </w:t>
            </w:r>
            <w:r w:rsidR="00E33E5B">
              <w:rPr>
                <w:rFonts w:cs="Arial"/>
              </w:rPr>
              <w:t>for the</w:t>
            </w:r>
            <w:r w:rsidR="00632B21">
              <w:rPr>
                <w:rFonts w:cs="Arial"/>
              </w:rPr>
              <w:t xml:space="preserve"> use</w:t>
            </w:r>
            <w:r w:rsidR="00E33E5B">
              <w:rPr>
                <w:rFonts w:cs="Arial"/>
              </w:rPr>
              <w:t xml:space="preserve"> of</w:t>
            </w:r>
            <w:r w:rsidR="00632B21">
              <w:rPr>
                <w:rFonts w:cs="Arial"/>
              </w:rPr>
              <w:t xml:space="preserve"> tonne-tonne accounting with </w:t>
            </w:r>
            <w:r w:rsidR="000E60B8">
              <w:rPr>
                <w:rFonts w:cs="Arial"/>
              </w:rPr>
              <w:t xml:space="preserve">either </w:t>
            </w:r>
            <w:r w:rsidR="00632B21">
              <w:rPr>
                <w:rFonts w:cs="Arial"/>
              </w:rPr>
              <w:t>default projections or project specific modeling.</w:t>
            </w:r>
          </w:p>
        </w:tc>
        <w:tc>
          <w:tcPr>
            <w:tcW w:w="2070" w:type="dxa"/>
          </w:tcPr>
          <w:p w14:paraId="24AB93C3" w14:textId="38518FF3"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65505603" w14:textId="177109BD"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36F6F0BC" w14:textId="77777777" w:rsidTr="00263364">
        <w:tc>
          <w:tcPr>
            <w:tcW w:w="4320" w:type="dxa"/>
            <w:shd w:val="clear" w:color="auto" w:fill="E1E9F3"/>
          </w:tcPr>
          <w:p w14:paraId="62466E90" w14:textId="77777777" w:rsidR="00124432" w:rsidRPr="00124432" w:rsidRDefault="00632B21" w:rsidP="004D40EB">
            <w:pPr>
              <w:pStyle w:val="ListParagraph"/>
              <w:numPr>
                <w:ilvl w:val="0"/>
                <w:numId w:val="39"/>
              </w:numPr>
              <w:spacing w:after="60"/>
              <w:rPr>
                <w:rFonts w:cs="Arial"/>
              </w:rPr>
            </w:pPr>
            <w:r w:rsidRPr="00124432">
              <w:rPr>
                <w:rFonts w:cs="Arial"/>
              </w:rPr>
              <w:t xml:space="preserve">Terms shall include a requirement to reforest in the event of a loss of &gt;50% live and dead tree canopy on &gt;10% of the total project area because of a natural disturbance, </w:t>
            </w:r>
            <w:r>
              <w:t>whether through active planting, site preparation to promote natural regeneration, or passive management that allows the site to return to forest cover over time.</w:t>
            </w:r>
            <w:r w:rsidR="00D15B8C">
              <w:t xml:space="preserve"> </w:t>
            </w:r>
          </w:p>
          <w:p w14:paraId="4E67F275" w14:textId="77777777" w:rsidR="00124432" w:rsidRPr="00124432" w:rsidRDefault="00124432" w:rsidP="004D40EB">
            <w:pPr>
              <w:pStyle w:val="ListParagraph"/>
              <w:spacing w:after="60"/>
              <w:ind w:left="360"/>
              <w:rPr>
                <w:rFonts w:cs="Arial"/>
              </w:rPr>
            </w:pPr>
          </w:p>
          <w:p w14:paraId="219AB0F4" w14:textId="5DAA9D2A" w:rsidR="00E33E5B" w:rsidRPr="00124432" w:rsidRDefault="00632B21" w:rsidP="004D40EB">
            <w:pPr>
              <w:pStyle w:val="ListParagraph"/>
              <w:spacing w:after="60"/>
              <w:ind w:left="360"/>
              <w:rPr>
                <w:rFonts w:cs="Arial"/>
              </w:rPr>
            </w:pPr>
            <w:r>
              <w:t>At a minimum, reforestation would be required after each of two such natural disturbances occurring on the project area</w:t>
            </w:r>
            <w:r w:rsidR="00124432">
              <w:t xml:space="preserve">, with a requirement duration of: </w:t>
            </w:r>
          </w:p>
          <w:p w14:paraId="02E7E515" w14:textId="6F7354E6" w:rsidR="00D15B8C" w:rsidRDefault="00D15B8C" w:rsidP="004D40EB">
            <w:pPr>
              <w:pStyle w:val="ListParagraph"/>
              <w:numPr>
                <w:ilvl w:val="1"/>
                <w:numId w:val="39"/>
              </w:numPr>
              <w:spacing w:after="60"/>
              <w:ind w:left="792"/>
              <w:rPr>
                <w:rFonts w:cs="Arial"/>
              </w:rPr>
            </w:pPr>
            <w:r>
              <w:lastRenderedPageBreak/>
              <w:t xml:space="preserve">At least until </w:t>
            </w:r>
            <w:r w:rsidR="000E60B8">
              <w:t xml:space="preserve">the </w:t>
            </w:r>
            <w:r>
              <w:rPr>
                <w:rFonts w:cs="Arial"/>
              </w:rPr>
              <w:t>end</w:t>
            </w:r>
            <w:r w:rsidRPr="00BA674C">
              <w:rPr>
                <w:rFonts w:cs="Arial"/>
              </w:rPr>
              <w:t xml:space="preserve"> of the crediting period</w:t>
            </w:r>
            <w:r>
              <w:rPr>
                <w:rFonts w:cs="Arial"/>
              </w:rPr>
              <w:t>, for a tonne-year accounting crediting period extension.</w:t>
            </w:r>
          </w:p>
          <w:p w14:paraId="239B8AC9" w14:textId="2AA22B9C" w:rsidR="00632B21" w:rsidRPr="00124432" w:rsidRDefault="000E60B8" w:rsidP="004D40EB">
            <w:pPr>
              <w:pStyle w:val="ListParagraph"/>
              <w:numPr>
                <w:ilvl w:val="1"/>
                <w:numId w:val="39"/>
              </w:numPr>
              <w:spacing w:after="60"/>
              <w:ind w:left="792"/>
              <w:rPr>
                <w:rFonts w:cs="Arial"/>
              </w:rPr>
            </w:pPr>
            <w:r>
              <w:rPr>
                <w:rFonts w:cs="Arial"/>
              </w:rPr>
              <w:t>At least 200 years, for the use of tonne-tonne accounting with either default projections or project specific modeling.</w:t>
            </w:r>
          </w:p>
        </w:tc>
        <w:tc>
          <w:tcPr>
            <w:tcW w:w="2070" w:type="dxa"/>
          </w:tcPr>
          <w:p w14:paraId="2127FC24" w14:textId="383AA905" w:rsidR="00632B21" w:rsidRPr="0012016A" w:rsidRDefault="00632B21" w:rsidP="004D40EB">
            <w:pPr>
              <w:spacing w:after="60"/>
              <w:rPr>
                <w:rStyle w:val="Strong"/>
              </w:rPr>
            </w:pPr>
            <w:r w:rsidRPr="0012016A">
              <w:rPr>
                <w:rStyle w:val="Strong"/>
              </w:rPr>
              <w:lastRenderedPageBreak/>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1600C7A0" w14:textId="3D72E40E"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65FA4" w:rsidRPr="00B12417" w14:paraId="56383C1D" w14:textId="77777777" w:rsidTr="00D703A2">
        <w:tc>
          <w:tcPr>
            <w:tcW w:w="10620" w:type="dxa"/>
            <w:gridSpan w:val="3"/>
            <w:shd w:val="clear" w:color="auto" w:fill="BFBFBF" w:themeFill="background1" w:themeFillShade="BF"/>
          </w:tcPr>
          <w:p w14:paraId="580BC2AD" w14:textId="76A63041" w:rsidR="00F65FA4" w:rsidRPr="00D703A2" w:rsidRDefault="00262292" w:rsidP="002C7CE2">
            <w:pPr>
              <w:spacing w:afterLines="60" w:after="144"/>
              <w:rPr>
                <w:rStyle w:val="Strong"/>
                <w:i/>
                <w:iCs/>
              </w:rPr>
            </w:pPr>
            <w:r w:rsidRPr="00D703A2">
              <w:rPr>
                <w:rStyle w:val="Strong"/>
                <w:i/>
                <w:iCs/>
              </w:rPr>
              <w:t xml:space="preserve">Terms below </w:t>
            </w:r>
            <w:r w:rsidR="00557368" w:rsidRPr="00D703A2">
              <w:rPr>
                <w:rStyle w:val="Strong"/>
                <w:i/>
                <w:iCs/>
              </w:rPr>
              <w:t xml:space="preserve">only </w:t>
            </w:r>
            <w:r w:rsidRPr="00D703A2">
              <w:rPr>
                <w:rStyle w:val="Strong"/>
                <w:i/>
                <w:iCs/>
              </w:rPr>
              <w:t xml:space="preserve">applicable to projects employing conservation easement with </w:t>
            </w:r>
            <w:r w:rsidR="00557368" w:rsidRPr="00D703A2">
              <w:rPr>
                <w:rStyle w:val="Strong"/>
                <w:i/>
                <w:iCs/>
              </w:rPr>
              <w:t>timber harvest restrictions specified in the methodology.</w:t>
            </w:r>
          </w:p>
        </w:tc>
      </w:tr>
      <w:tr w:rsidR="00632B21" w:rsidRPr="00B12417" w14:paraId="29082B84" w14:textId="77777777" w:rsidTr="00263364">
        <w:tc>
          <w:tcPr>
            <w:tcW w:w="4320" w:type="dxa"/>
            <w:shd w:val="clear" w:color="auto" w:fill="E1E9F3"/>
          </w:tcPr>
          <w:p w14:paraId="484D1265" w14:textId="4C63580A" w:rsidR="00E33E5B" w:rsidRPr="00124432" w:rsidRDefault="00632B21" w:rsidP="004D40EB">
            <w:pPr>
              <w:pStyle w:val="ListParagraph"/>
              <w:numPr>
                <w:ilvl w:val="0"/>
                <w:numId w:val="39"/>
              </w:numPr>
              <w:spacing w:after="60"/>
              <w:rPr>
                <w:rFonts w:cs="Arial"/>
              </w:rPr>
            </w:pPr>
            <w:r w:rsidRPr="00124432">
              <w:rPr>
                <w:rFonts w:cs="Arial"/>
              </w:rPr>
              <w:t>Terms used to encumber timber harvest must limit harvest activities to management for forest resiliency (</w:t>
            </w:r>
            <w:proofErr w:type="spellStart"/>
            <w:r w:rsidRPr="00124432">
              <w:rPr>
                <w:rFonts w:cs="Arial"/>
              </w:rPr>
              <w:t>thinnings</w:t>
            </w:r>
            <w:proofErr w:type="spellEnd"/>
            <w:r w:rsidRPr="00124432">
              <w:rPr>
                <w:rFonts w:cs="Arial"/>
              </w:rPr>
              <w:t>), human safety, or salvage (in the event of an ecological perturbation, such as wildfire, insect infestation, or disease</w:t>
            </w:r>
            <w:r w:rsidR="00124432" w:rsidRPr="00124432">
              <w:rPr>
                <w:rFonts w:cs="Arial"/>
              </w:rPr>
              <w:t xml:space="preserve">), for a </w:t>
            </w:r>
            <w:r w:rsidR="00124432">
              <w:rPr>
                <w:rFonts w:cs="Arial"/>
              </w:rPr>
              <w:t>d</w:t>
            </w:r>
            <w:r w:rsidR="00E33E5B" w:rsidRPr="00124432">
              <w:rPr>
                <w:rFonts w:cs="Arial"/>
              </w:rPr>
              <w:t>uration of:</w:t>
            </w:r>
          </w:p>
          <w:p w14:paraId="4FC78C39" w14:textId="5A1CFFA5" w:rsidR="00E33E5B" w:rsidRDefault="00E33E5B" w:rsidP="004D40EB">
            <w:pPr>
              <w:pStyle w:val="ListParagraph"/>
              <w:numPr>
                <w:ilvl w:val="1"/>
                <w:numId w:val="39"/>
              </w:numPr>
              <w:spacing w:after="60"/>
              <w:ind w:left="792"/>
              <w:rPr>
                <w:rFonts w:cs="Arial"/>
              </w:rPr>
            </w:pPr>
            <w:r>
              <w:t xml:space="preserve">At least until </w:t>
            </w:r>
            <w:r w:rsidR="000E60B8">
              <w:t xml:space="preserve">the </w:t>
            </w:r>
            <w:r>
              <w:rPr>
                <w:rFonts w:cs="Arial"/>
              </w:rPr>
              <w:t>end</w:t>
            </w:r>
            <w:r w:rsidRPr="00BA674C">
              <w:rPr>
                <w:rFonts w:cs="Arial"/>
              </w:rPr>
              <w:t xml:space="preserve"> of the crediting period</w:t>
            </w:r>
            <w:r>
              <w:rPr>
                <w:rFonts w:cs="Arial"/>
              </w:rPr>
              <w:t>, for a tonne-year accounting crediting period extension.</w:t>
            </w:r>
          </w:p>
          <w:p w14:paraId="67B4AABB" w14:textId="6D7FDE56" w:rsidR="00E33E5B" w:rsidRPr="004E19EC" w:rsidRDefault="000E60B8" w:rsidP="004D40EB">
            <w:pPr>
              <w:pStyle w:val="ListParagraph"/>
              <w:numPr>
                <w:ilvl w:val="1"/>
                <w:numId w:val="39"/>
              </w:numPr>
              <w:spacing w:after="60"/>
              <w:ind w:left="792"/>
              <w:rPr>
                <w:rFonts w:cs="Arial"/>
              </w:rPr>
            </w:pPr>
            <w:r>
              <w:rPr>
                <w:rFonts w:cs="Arial"/>
              </w:rPr>
              <w:t>At least 200 years, for the use of tonne-tonne accounting with either default projections or project specific modeling.</w:t>
            </w:r>
          </w:p>
        </w:tc>
        <w:tc>
          <w:tcPr>
            <w:tcW w:w="2070" w:type="dxa"/>
          </w:tcPr>
          <w:p w14:paraId="1906ADFD" w14:textId="68C32287"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304D8586" w14:textId="2110903A" w:rsidR="00632B21" w:rsidRPr="0012016A" w:rsidRDefault="00632B21" w:rsidP="004D40EB">
            <w:pPr>
              <w:spacing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32B21" w:rsidRPr="00B12417" w14:paraId="785D0F19" w14:textId="77777777" w:rsidTr="00263364">
        <w:tc>
          <w:tcPr>
            <w:tcW w:w="4320" w:type="dxa"/>
            <w:shd w:val="clear" w:color="auto" w:fill="E1E9F3"/>
          </w:tcPr>
          <w:p w14:paraId="09FE48A2" w14:textId="1A3568A1" w:rsidR="00BD5DCB" w:rsidRPr="00BD5DCB" w:rsidRDefault="00632B21" w:rsidP="004D40EB">
            <w:pPr>
              <w:pStyle w:val="ListParagraph"/>
              <w:numPr>
                <w:ilvl w:val="0"/>
                <w:numId w:val="39"/>
              </w:numPr>
              <w:spacing w:after="60"/>
              <w:rPr>
                <w:rFonts w:cs="Arial"/>
              </w:rPr>
            </w:pPr>
            <w:r w:rsidRPr="00BD5DCB">
              <w:rPr>
                <w:rFonts w:cs="Arial"/>
              </w:rPr>
              <w:t>Other than salvage harvesting, harvest activities conducted prior to the end of the crediting period for the project shall increase Quadratic Mean Diameter (QMD) in all trees greater than 12 inches and shall not reduce canopy cover, on a continuous analysis area of every 10 acres, below 60 percent</w:t>
            </w:r>
            <w:r w:rsidR="00BD5DCB">
              <w:rPr>
                <w:rFonts w:cs="Arial"/>
              </w:rPr>
              <w:t>, for a duration of</w:t>
            </w:r>
            <w:r w:rsidR="00BD5DCB" w:rsidRPr="00BD5DCB">
              <w:rPr>
                <w:rFonts w:cs="Arial"/>
              </w:rPr>
              <w:t>:</w:t>
            </w:r>
          </w:p>
          <w:p w14:paraId="2BEABC5C" w14:textId="77777777" w:rsidR="000E60B8" w:rsidRDefault="00BD5DCB" w:rsidP="004D40EB">
            <w:pPr>
              <w:pStyle w:val="ListParagraph"/>
              <w:numPr>
                <w:ilvl w:val="1"/>
                <w:numId w:val="39"/>
              </w:numPr>
              <w:spacing w:after="60"/>
              <w:ind w:left="792"/>
              <w:rPr>
                <w:rFonts w:cs="Arial"/>
              </w:rPr>
            </w:pPr>
            <w:r>
              <w:t xml:space="preserve">At least until </w:t>
            </w:r>
            <w:r w:rsidR="000E60B8">
              <w:t xml:space="preserve">the </w:t>
            </w:r>
            <w:r w:rsidRPr="000E60B8">
              <w:rPr>
                <w:rFonts w:cs="Arial"/>
              </w:rPr>
              <w:t>end of the crediting period, for a tonne-year accounting crediting period extension.</w:t>
            </w:r>
          </w:p>
          <w:p w14:paraId="0E789543" w14:textId="29138141" w:rsidR="000E60B8" w:rsidRPr="000E60B8" w:rsidRDefault="000E60B8" w:rsidP="004D40EB">
            <w:pPr>
              <w:pStyle w:val="ListParagraph"/>
              <w:numPr>
                <w:ilvl w:val="1"/>
                <w:numId w:val="39"/>
              </w:numPr>
              <w:spacing w:after="60"/>
              <w:ind w:left="792"/>
              <w:rPr>
                <w:rFonts w:cs="Arial"/>
              </w:rPr>
            </w:pPr>
            <w:r w:rsidRPr="000E60B8">
              <w:rPr>
                <w:rFonts w:cs="Arial"/>
              </w:rPr>
              <w:t>At least 200 years, for the use of tonne-tonne accounting with either default projections or project specific modeling.</w:t>
            </w:r>
          </w:p>
          <w:p w14:paraId="6FBEA888" w14:textId="4332C9E8" w:rsidR="004E19EC" w:rsidRPr="004E19EC" w:rsidRDefault="00D3432A" w:rsidP="004D40EB">
            <w:pPr>
              <w:spacing w:after="60"/>
              <w:ind w:left="360"/>
              <w:rPr>
                <w:rFonts w:cs="Arial"/>
              </w:rPr>
            </w:pPr>
            <w:r>
              <w:t>For projects applying TTA, harvesting occurring after the crediting period but prior to when at least 200 years have passed since the establishment of trees on the site shall be limited so that harvest volumes do not exceed growth.</w:t>
            </w:r>
          </w:p>
        </w:tc>
        <w:tc>
          <w:tcPr>
            <w:tcW w:w="2070" w:type="dxa"/>
          </w:tcPr>
          <w:p w14:paraId="41AC341C" w14:textId="2C0C3912"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4230" w:type="dxa"/>
          </w:tcPr>
          <w:p w14:paraId="0657FBA1" w14:textId="5C1832E2" w:rsidR="00632B21" w:rsidRPr="00B12417" w:rsidRDefault="00632B21" w:rsidP="004D40EB">
            <w:pPr>
              <w:spacing w:after="60"/>
              <w:rPr>
                <w:rFonts w:cs="Arial"/>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04719F00" w14:textId="77777777" w:rsidR="00311EAA" w:rsidRDefault="00311EAA" w:rsidP="00110BD0">
      <w:pPr>
        <w:widowControl w:val="0"/>
        <w:tabs>
          <w:tab w:val="left" w:pos="960"/>
        </w:tabs>
        <w:rPr>
          <w:rFonts w:cs="Arial"/>
          <w:szCs w:val="20"/>
        </w:rPr>
      </w:pPr>
    </w:p>
    <w:p w14:paraId="2C396E03" w14:textId="500F6053" w:rsidR="00B76F04" w:rsidRPr="00BD5DCB" w:rsidRDefault="00B76F04" w:rsidP="00110BD0">
      <w:pPr>
        <w:widowControl w:val="0"/>
        <w:tabs>
          <w:tab w:val="left" w:pos="960"/>
        </w:tabs>
        <w:rPr>
          <w:rFonts w:cs="Arial"/>
          <w:sz w:val="22"/>
          <w:szCs w:val="22"/>
        </w:rPr>
      </w:pPr>
    </w:p>
    <w:sectPr w:rsidR="00B76F04" w:rsidRPr="00BD5DCB" w:rsidSect="0018358F">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329A" w14:textId="77777777" w:rsidR="00091E72" w:rsidRDefault="00091E72">
      <w:r>
        <w:separator/>
      </w:r>
    </w:p>
  </w:endnote>
  <w:endnote w:type="continuationSeparator" w:id="0">
    <w:p w14:paraId="6F0834FC" w14:textId="77777777" w:rsidR="00091E72" w:rsidRDefault="00091E72">
      <w:r>
        <w:continuationSeparator/>
      </w:r>
    </w:p>
  </w:endnote>
  <w:endnote w:type="continuationNotice" w:id="1">
    <w:p w14:paraId="0AC9404D" w14:textId="77777777" w:rsidR="00091E72" w:rsidRDefault="00091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2"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9824D3"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D4" w14:textId="6B85BB10" w:rsidR="00691EA9" w:rsidRPr="00CB3CBB" w:rsidRDefault="00691EA9" w:rsidP="00040C78">
    <w:pPr>
      <w:pStyle w:val="Footer"/>
      <w:framePr w:wrap="around" w:vAnchor="text" w:hAnchor="margin" w:xAlign="center" w:y="1"/>
      <w:rPr>
        <w:rStyle w:val="PageNumber"/>
        <w:rFonts w:cs="Arial"/>
        <w:szCs w:val="20"/>
      </w:rPr>
    </w:pPr>
    <w:r w:rsidRPr="00CB3CBB">
      <w:rPr>
        <w:rStyle w:val="PageNumber"/>
        <w:rFonts w:cs="Arial"/>
        <w:szCs w:val="20"/>
      </w:rPr>
      <w:fldChar w:fldCharType="begin"/>
    </w:r>
    <w:r w:rsidRPr="00CB3CBB">
      <w:rPr>
        <w:rStyle w:val="PageNumber"/>
        <w:rFonts w:cs="Arial"/>
        <w:szCs w:val="20"/>
      </w:rPr>
      <w:instrText xml:space="preserve">PAGE  </w:instrText>
    </w:r>
    <w:r w:rsidRPr="00CB3CBB">
      <w:rPr>
        <w:rStyle w:val="PageNumber"/>
        <w:rFonts w:cs="Arial"/>
        <w:szCs w:val="20"/>
      </w:rPr>
      <w:fldChar w:fldCharType="separate"/>
    </w:r>
    <w:r w:rsidR="000F7EFC">
      <w:rPr>
        <w:rStyle w:val="PageNumber"/>
        <w:rFonts w:cs="Arial"/>
        <w:noProof/>
        <w:szCs w:val="20"/>
      </w:rPr>
      <w:t>2</w:t>
    </w:r>
    <w:r w:rsidRPr="00CB3CBB">
      <w:rPr>
        <w:rStyle w:val="PageNumber"/>
        <w:rFonts w:cs="Arial"/>
        <w:szCs w:val="20"/>
      </w:rPr>
      <w:fldChar w:fldCharType="end"/>
    </w:r>
  </w:p>
  <w:p w14:paraId="339824D5" w14:textId="77777777" w:rsidR="00691EA9" w:rsidRDefault="0069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E176" w14:textId="77777777" w:rsidR="00091E72" w:rsidRDefault="00091E72">
      <w:r>
        <w:separator/>
      </w:r>
    </w:p>
  </w:footnote>
  <w:footnote w:type="continuationSeparator" w:id="0">
    <w:p w14:paraId="7B3AB5B1" w14:textId="77777777" w:rsidR="00091E72" w:rsidRDefault="00091E72">
      <w:r>
        <w:continuationSeparator/>
      </w:r>
    </w:p>
  </w:footnote>
  <w:footnote w:type="continuationNotice" w:id="1">
    <w:p w14:paraId="7A1331DE" w14:textId="77777777" w:rsidR="00091E72" w:rsidRDefault="00091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24CA" w14:textId="1449DB12" w:rsidR="00691EA9" w:rsidRDefault="00D42546" w:rsidP="00CC6FF7">
    <w:pPr>
      <w:pStyle w:val="Header"/>
      <w:tabs>
        <w:tab w:val="clear" w:pos="4320"/>
        <w:tab w:val="clear" w:pos="8640"/>
        <w:tab w:val="right" w:pos="10800"/>
      </w:tabs>
      <w:rPr>
        <w:rFonts w:cs="Arial"/>
        <w:i/>
        <w:sz w:val="18"/>
        <w:szCs w:val="18"/>
      </w:rPr>
    </w:pPr>
    <w:r>
      <w:rPr>
        <w:noProof/>
      </w:rPr>
      <w:drawing>
        <wp:anchor distT="0" distB="0" distL="114300" distR="114300" simplePos="0" relativeHeight="251658240" behindDoc="0" locked="0" layoutInCell="1" allowOverlap="1" wp14:anchorId="339824D6" wp14:editId="6F58398B">
          <wp:simplePos x="0" y="0"/>
          <wp:positionH relativeFrom="column">
            <wp:posOffset>0</wp:posOffset>
          </wp:positionH>
          <wp:positionV relativeFrom="paragraph">
            <wp:posOffset>-172528</wp:posOffset>
          </wp:positionV>
          <wp:extent cx="3046535" cy="480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4653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FF7">
      <w:rPr>
        <w:rFonts w:cs="Arial"/>
        <w:i/>
        <w:sz w:val="18"/>
        <w:szCs w:val="18"/>
      </w:rPr>
      <w:tab/>
    </w:r>
    <w:r w:rsidR="00691EA9">
      <w:rPr>
        <w:rFonts w:cs="Arial"/>
        <w:i/>
        <w:sz w:val="18"/>
        <w:szCs w:val="18"/>
      </w:rPr>
      <w:t xml:space="preserve">Version </w:t>
    </w:r>
    <w:r w:rsidR="00817068">
      <w:rPr>
        <w:rFonts w:cs="Arial"/>
        <w:i/>
        <w:sz w:val="18"/>
        <w:szCs w:val="18"/>
      </w:rPr>
      <w:t>2</w:t>
    </w:r>
    <w:r w:rsidR="00691EA9">
      <w:rPr>
        <w:rFonts w:cs="Arial"/>
        <w:i/>
        <w:sz w:val="18"/>
        <w:szCs w:val="18"/>
      </w:rPr>
      <w:t xml:space="preserve"> – </w:t>
    </w:r>
    <w:r w:rsidR="00817068">
      <w:rPr>
        <w:rFonts w:cs="Arial"/>
        <w:i/>
        <w:sz w:val="18"/>
        <w:szCs w:val="18"/>
      </w:rPr>
      <w:t>0</w:t>
    </w:r>
    <w:r w:rsidR="00CC6FF7">
      <w:rPr>
        <w:rFonts w:cs="Arial"/>
        <w:i/>
        <w:sz w:val="18"/>
        <w:szCs w:val="18"/>
      </w:rPr>
      <w:t>5</w:t>
    </w:r>
    <w:r w:rsidR="005A3344">
      <w:rPr>
        <w:rFonts w:cs="Arial"/>
        <w:i/>
        <w:sz w:val="18"/>
        <w:szCs w:val="18"/>
      </w:rPr>
      <w:t>/20</w:t>
    </w:r>
    <w:r w:rsidR="002034B1">
      <w:rPr>
        <w:rFonts w:cs="Arial"/>
        <w:i/>
        <w:sz w:val="18"/>
        <w:szCs w:val="18"/>
      </w:rPr>
      <w:t>2</w:t>
    </w:r>
    <w:r w:rsidR="00817068">
      <w:rPr>
        <w:rFonts w:cs="Arial"/>
        <w:i/>
        <w:sz w:val="18"/>
        <w:szCs w:val="18"/>
      </w:rPr>
      <w:t>2</w:t>
    </w:r>
  </w:p>
  <w:p w14:paraId="339824CC" w14:textId="787CDE4B" w:rsidR="00691EA9" w:rsidRDefault="00691EA9" w:rsidP="00CC6FF7">
    <w:pPr>
      <w:pStyle w:val="Header"/>
      <w:tabs>
        <w:tab w:val="clear" w:pos="4320"/>
        <w:tab w:val="clear" w:pos="8640"/>
        <w:tab w:val="right" w:pos="10800"/>
      </w:tabs>
      <w:rPr>
        <w:rFonts w:cs="Arial"/>
        <w:i/>
        <w:sz w:val="18"/>
        <w:szCs w:val="18"/>
      </w:rPr>
    </w:pPr>
    <w:r>
      <w:rPr>
        <w:rFonts w:cs="Arial"/>
        <w:i/>
        <w:sz w:val="18"/>
        <w:szCs w:val="18"/>
      </w:rPr>
      <w:tab/>
    </w:r>
  </w:p>
  <w:p w14:paraId="339824D1"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13B35"/>
    <w:multiLevelType w:val="hybridMultilevel"/>
    <w:tmpl w:val="05722774"/>
    <w:lvl w:ilvl="0" w:tplc="F7FC33D6">
      <w:start w:val="1"/>
      <w:numFmt w:val="decimal"/>
      <w:lvlText w:val="%1."/>
      <w:lvlJc w:val="left"/>
      <w:pPr>
        <w:ind w:left="360" w:hanging="360"/>
      </w:pPr>
      <w:rPr>
        <w:b/>
        <w:bCs/>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57F95"/>
    <w:multiLevelType w:val="hybridMultilevel"/>
    <w:tmpl w:val="84F2D1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8"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39"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737389175">
    <w:abstractNumId w:val="2"/>
  </w:num>
  <w:num w:numId="2" w16cid:durableId="2078821957">
    <w:abstractNumId w:val="21"/>
  </w:num>
  <w:num w:numId="3" w16cid:durableId="457114207">
    <w:abstractNumId w:val="7"/>
  </w:num>
  <w:num w:numId="4" w16cid:durableId="1417559576">
    <w:abstractNumId w:val="33"/>
  </w:num>
  <w:num w:numId="5" w16cid:durableId="1109272657">
    <w:abstractNumId w:val="11"/>
  </w:num>
  <w:num w:numId="6" w16cid:durableId="1508208291">
    <w:abstractNumId w:val="6"/>
  </w:num>
  <w:num w:numId="7" w16cid:durableId="367729017">
    <w:abstractNumId w:val="0"/>
  </w:num>
  <w:num w:numId="8" w16cid:durableId="193929211">
    <w:abstractNumId w:val="20"/>
  </w:num>
  <w:num w:numId="9" w16cid:durableId="1828088024">
    <w:abstractNumId w:val="39"/>
  </w:num>
  <w:num w:numId="10" w16cid:durableId="2067990057">
    <w:abstractNumId w:val="35"/>
  </w:num>
  <w:num w:numId="11" w16cid:durableId="54427603">
    <w:abstractNumId w:val="34"/>
  </w:num>
  <w:num w:numId="12" w16cid:durableId="2100176136">
    <w:abstractNumId w:val="16"/>
  </w:num>
  <w:num w:numId="13" w16cid:durableId="635338731">
    <w:abstractNumId w:val="17"/>
  </w:num>
  <w:num w:numId="14" w16cid:durableId="1426733636">
    <w:abstractNumId w:val="15"/>
  </w:num>
  <w:num w:numId="15" w16cid:durableId="246698676">
    <w:abstractNumId w:val="10"/>
  </w:num>
  <w:num w:numId="16" w16cid:durableId="1939020592">
    <w:abstractNumId w:val="29"/>
  </w:num>
  <w:num w:numId="17" w16cid:durableId="179704693">
    <w:abstractNumId w:val="24"/>
  </w:num>
  <w:num w:numId="18" w16cid:durableId="130829712">
    <w:abstractNumId w:val="37"/>
  </w:num>
  <w:num w:numId="19" w16cid:durableId="645202487">
    <w:abstractNumId w:val="8"/>
  </w:num>
  <w:num w:numId="20" w16cid:durableId="1770270634">
    <w:abstractNumId w:val="22"/>
  </w:num>
  <w:num w:numId="21" w16cid:durableId="1070810552">
    <w:abstractNumId w:val="13"/>
  </w:num>
  <w:num w:numId="22" w16cid:durableId="531265911">
    <w:abstractNumId w:val="25"/>
  </w:num>
  <w:num w:numId="23" w16cid:durableId="1769960455">
    <w:abstractNumId w:val="32"/>
  </w:num>
  <w:num w:numId="24" w16cid:durableId="836337612">
    <w:abstractNumId w:val="38"/>
  </w:num>
  <w:num w:numId="25" w16cid:durableId="74017140">
    <w:abstractNumId w:val="23"/>
  </w:num>
  <w:num w:numId="26" w16cid:durableId="331180053">
    <w:abstractNumId w:val="12"/>
  </w:num>
  <w:num w:numId="27" w16cid:durableId="1272858726">
    <w:abstractNumId w:val="28"/>
  </w:num>
  <w:num w:numId="28" w16cid:durableId="692418816">
    <w:abstractNumId w:val="18"/>
  </w:num>
  <w:num w:numId="29" w16cid:durableId="1032456301">
    <w:abstractNumId w:val="30"/>
  </w:num>
  <w:num w:numId="30" w16cid:durableId="605771533">
    <w:abstractNumId w:val="36"/>
  </w:num>
  <w:num w:numId="31" w16cid:durableId="1210066719">
    <w:abstractNumId w:val="14"/>
  </w:num>
  <w:num w:numId="32" w16cid:durableId="37512630">
    <w:abstractNumId w:val="31"/>
  </w:num>
  <w:num w:numId="33" w16cid:durableId="1585409351">
    <w:abstractNumId w:val="3"/>
  </w:num>
  <w:num w:numId="34" w16cid:durableId="391925404">
    <w:abstractNumId w:val="27"/>
  </w:num>
  <w:num w:numId="35" w16cid:durableId="1589533341">
    <w:abstractNumId w:val="4"/>
  </w:num>
  <w:num w:numId="36" w16cid:durableId="36860572">
    <w:abstractNumId w:val="19"/>
  </w:num>
  <w:num w:numId="37" w16cid:durableId="1492062251">
    <w:abstractNumId w:val="9"/>
  </w:num>
  <w:num w:numId="38" w16cid:durableId="2031688096">
    <w:abstractNumId w:val="26"/>
  </w:num>
  <w:num w:numId="39" w16cid:durableId="1314336636">
    <w:abstractNumId w:val="1"/>
  </w:num>
  <w:num w:numId="40" w16cid:durableId="526724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NPZXeOth0WWKGZBttCbiyuO5b6RYuM8otWM4/6j7BUzK/Hptauu8oLPrXag9jXW2RZP4HG2VLfRPAOybipctQ==" w:salt="6M1iezmQzPDQxTL+WuNDOQ=="/>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BE"/>
    <w:rsid w:val="00006167"/>
    <w:rsid w:val="00006704"/>
    <w:rsid w:val="000071B9"/>
    <w:rsid w:val="00011BE7"/>
    <w:rsid w:val="000120EC"/>
    <w:rsid w:val="0002391E"/>
    <w:rsid w:val="00027BDB"/>
    <w:rsid w:val="0003731E"/>
    <w:rsid w:val="00040C78"/>
    <w:rsid w:val="000411FB"/>
    <w:rsid w:val="00041527"/>
    <w:rsid w:val="00043C7A"/>
    <w:rsid w:val="00045832"/>
    <w:rsid w:val="000519D0"/>
    <w:rsid w:val="00055B85"/>
    <w:rsid w:val="00056768"/>
    <w:rsid w:val="0006144F"/>
    <w:rsid w:val="0006178B"/>
    <w:rsid w:val="000617E6"/>
    <w:rsid w:val="000701E4"/>
    <w:rsid w:val="00075B22"/>
    <w:rsid w:val="00076CDE"/>
    <w:rsid w:val="00080ABA"/>
    <w:rsid w:val="0008373D"/>
    <w:rsid w:val="000874CC"/>
    <w:rsid w:val="00091E72"/>
    <w:rsid w:val="00093AE3"/>
    <w:rsid w:val="000A0D2E"/>
    <w:rsid w:val="000A36BD"/>
    <w:rsid w:val="000B4C88"/>
    <w:rsid w:val="000B6AB3"/>
    <w:rsid w:val="000C147E"/>
    <w:rsid w:val="000C1B3B"/>
    <w:rsid w:val="000C3173"/>
    <w:rsid w:val="000C3605"/>
    <w:rsid w:val="000C666F"/>
    <w:rsid w:val="000C7D48"/>
    <w:rsid w:val="000C7D9B"/>
    <w:rsid w:val="000D01C5"/>
    <w:rsid w:val="000D1433"/>
    <w:rsid w:val="000D2426"/>
    <w:rsid w:val="000D6961"/>
    <w:rsid w:val="000D73DF"/>
    <w:rsid w:val="000D7751"/>
    <w:rsid w:val="000E3F5A"/>
    <w:rsid w:val="000E5760"/>
    <w:rsid w:val="000E60B8"/>
    <w:rsid w:val="000E62DC"/>
    <w:rsid w:val="000F05DC"/>
    <w:rsid w:val="000F37A3"/>
    <w:rsid w:val="000F5AC0"/>
    <w:rsid w:val="000F7EFC"/>
    <w:rsid w:val="001006FF"/>
    <w:rsid w:val="0010290B"/>
    <w:rsid w:val="00105C29"/>
    <w:rsid w:val="001071BA"/>
    <w:rsid w:val="00110BD0"/>
    <w:rsid w:val="00111EFD"/>
    <w:rsid w:val="00116116"/>
    <w:rsid w:val="001166DE"/>
    <w:rsid w:val="0012016A"/>
    <w:rsid w:val="00122918"/>
    <w:rsid w:val="00123D2F"/>
    <w:rsid w:val="00124432"/>
    <w:rsid w:val="00131B67"/>
    <w:rsid w:val="001324D5"/>
    <w:rsid w:val="0013291A"/>
    <w:rsid w:val="00141862"/>
    <w:rsid w:val="001425DE"/>
    <w:rsid w:val="0014496C"/>
    <w:rsid w:val="00151B8A"/>
    <w:rsid w:val="00151E54"/>
    <w:rsid w:val="0015256A"/>
    <w:rsid w:val="00153674"/>
    <w:rsid w:val="00161594"/>
    <w:rsid w:val="00162E0F"/>
    <w:rsid w:val="00171730"/>
    <w:rsid w:val="001718D0"/>
    <w:rsid w:val="00175AC3"/>
    <w:rsid w:val="001804EF"/>
    <w:rsid w:val="001811E0"/>
    <w:rsid w:val="00181C28"/>
    <w:rsid w:val="0018306B"/>
    <w:rsid w:val="0018358F"/>
    <w:rsid w:val="001929B8"/>
    <w:rsid w:val="00194108"/>
    <w:rsid w:val="00195A6E"/>
    <w:rsid w:val="001971AA"/>
    <w:rsid w:val="001A04D1"/>
    <w:rsid w:val="001A3912"/>
    <w:rsid w:val="001A6334"/>
    <w:rsid w:val="001A7BD4"/>
    <w:rsid w:val="001B15E8"/>
    <w:rsid w:val="001B5220"/>
    <w:rsid w:val="001C0FAF"/>
    <w:rsid w:val="001C1753"/>
    <w:rsid w:val="001C45F0"/>
    <w:rsid w:val="001C62B2"/>
    <w:rsid w:val="001D299F"/>
    <w:rsid w:val="001D2B82"/>
    <w:rsid w:val="001D3271"/>
    <w:rsid w:val="001D7C5E"/>
    <w:rsid w:val="001E10F4"/>
    <w:rsid w:val="001E30D2"/>
    <w:rsid w:val="001E31F6"/>
    <w:rsid w:val="001E3804"/>
    <w:rsid w:val="001E3960"/>
    <w:rsid w:val="001E46A7"/>
    <w:rsid w:val="001F3832"/>
    <w:rsid w:val="001F777C"/>
    <w:rsid w:val="001F7F4C"/>
    <w:rsid w:val="002034B1"/>
    <w:rsid w:val="00204E7D"/>
    <w:rsid w:val="002126D5"/>
    <w:rsid w:val="00215095"/>
    <w:rsid w:val="00220707"/>
    <w:rsid w:val="002210C2"/>
    <w:rsid w:val="0022412D"/>
    <w:rsid w:val="0023577C"/>
    <w:rsid w:val="00236BAF"/>
    <w:rsid w:val="00240AD0"/>
    <w:rsid w:val="00244AA5"/>
    <w:rsid w:val="00246500"/>
    <w:rsid w:val="00247802"/>
    <w:rsid w:val="00252958"/>
    <w:rsid w:val="002562CF"/>
    <w:rsid w:val="00256597"/>
    <w:rsid w:val="002571A8"/>
    <w:rsid w:val="00260C2B"/>
    <w:rsid w:val="00262292"/>
    <w:rsid w:val="00263364"/>
    <w:rsid w:val="002666E2"/>
    <w:rsid w:val="00267D99"/>
    <w:rsid w:val="00271C66"/>
    <w:rsid w:val="00273AA9"/>
    <w:rsid w:val="002748E9"/>
    <w:rsid w:val="0029065B"/>
    <w:rsid w:val="002936B3"/>
    <w:rsid w:val="00294CAB"/>
    <w:rsid w:val="0029622F"/>
    <w:rsid w:val="00297BAE"/>
    <w:rsid w:val="002B0F46"/>
    <w:rsid w:val="002B7F22"/>
    <w:rsid w:val="002C0540"/>
    <w:rsid w:val="002C0C2F"/>
    <w:rsid w:val="002C0CDC"/>
    <w:rsid w:val="002C3157"/>
    <w:rsid w:val="002C32F8"/>
    <w:rsid w:val="002C6EE2"/>
    <w:rsid w:val="002C7C81"/>
    <w:rsid w:val="002C7CE2"/>
    <w:rsid w:val="002D3B0C"/>
    <w:rsid w:val="002D4521"/>
    <w:rsid w:val="002D50E6"/>
    <w:rsid w:val="002E2A2D"/>
    <w:rsid w:val="002E39E1"/>
    <w:rsid w:val="002E675B"/>
    <w:rsid w:val="002F0A08"/>
    <w:rsid w:val="002F25DA"/>
    <w:rsid w:val="002F622E"/>
    <w:rsid w:val="00302875"/>
    <w:rsid w:val="00304477"/>
    <w:rsid w:val="00304510"/>
    <w:rsid w:val="00305ADC"/>
    <w:rsid w:val="003104C4"/>
    <w:rsid w:val="003115A0"/>
    <w:rsid w:val="00311EAA"/>
    <w:rsid w:val="00313FC9"/>
    <w:rsid w:val="00321B69"/>
    <w:rsid w:val="003276BA"/>
    <w:rsid w:val="00335004"/>
    <w:rsid w:val="00344D44"/>
    <w:rsid w:val="003602C6"/>
    <w:rsid w:val="00362077"/>
    <w:rsid w:val="00363771"/>
    <w:rsid w:val="00364958"/>
    <w:rsid w:val="00366FED"/>
    <w:rsid w:val="00367B30"/>
    <w:rsid w:val="00371A44"/>
    <w:rsid w:val="00374E32"/>
    <w:rsid w:val="00375E69"/>
    <w:rsid w:val="00377893"/>
    <w:rsid w:val="003820E8"/>
    <w:rsid w:val="003832D3"/>
    <w:rsid w:val="00383D85"/>
    <w:rsid w:val="0038538A"/>
    <w:rsid w:val="003908ED"/>
    <w:rsid w:val="003920CC"/>
    <w:rsid w:val="003A1C8A"/>
    <w:rsid w:val="003B4AC6"/>
    <w:rsid w:val="003C3689"/>
    <w:rsid w:val="003C601F"/>
    <w:rsid w:val="003D0A0E"/>
    <w:rsid w:val="003D0D75"/>
    <w:rsid w:val="003D178E"/>
    <w:rsid w:val="003D2CB9"/>
    <w:rsid w:val="003D3585"/>
    <w:rsid w:val="003D51AE"/>
    <w:rsid w:val="003D7992"/>
    <w:rsid w:val="003E0278"/>
    <w:rsid w:val="003E2061"/>
    <w:rsid w:val="003E3176"/>
    <w:rsid w:val="003E5F3A"/>
    <w:rsid w:val="003E6FD2"/>
    <w:rsid w:val="003F17BA"/>
    <w:rsid w:val="003F3CE2"/>
    <w:rsid w:val="003F5540"/>
    <w:rsid w:val="003F5A67"/>
    <w:rsid w:val="00404E7B"/>
    <w:rsid w:val="00417823"/>
    <w:rsid w:val="00417C82"/>
    <w:rsid w:val="00422FF8"/>
    <w:rsid w:val="00430317"/>
    <w:rsid w:val="00431CD6"/>
    <w:rsid w:val="00437421"/>
    <w:rsid w:val="00446564"/>
    <w:rsid w:val="00452096"/>
    <w:rsid w:val="00457D77"/>
    <w:rsid w:val="004605B7"/>
    <w:rsid w:val="00477E25"/>
    <w:rsid w:val="0048064A"/>
    <w:rsid w:val="004876BC"/>
    <w:rsid w:val="00495D50"/>
    <w:rsid w:val="0049693C"/>
    <w:rsid w:val="004973B8"/>
    <w:rsid w:val="004A750E"/>
    <w:rsid w:val="004C1159"/>
    <w:rsid w:val="004C14FD"/>
    <w:rsid w:val="004C35A1"/>
    <w:rsid w:val="004C76AB"/>
    <w:rsid w:val="004D40EB"/>
    <w:rsid w:val="004D5906"/>
    <w:rsid w:val="004D62AD"/>
    <w:rsid w:val="004D6945"/>
    <w:rsid w:val="004D7FE5"/>
    <w:rsid w:val="004E19EC"/>
    <w:rsid w:val="004E1EA8"/>
    <w:rsid w:val="004E2CF5"/>
    <w:rsid w:val="004E5074"/>
    <w:rsid w:val="004E7659"/>
    <w:rsid w:val="004F1A24"/>
    <w:rsid w:val="004F42BF"/>
    <w:rsid w:val="004F5B7F"/>
    <w:rsid w:val="004F7028"/>
    <w:rsid w:val="00501853"/>
    <w:rsid w:val="005022A6"/>
    <w:rsid w:val="00502447"/>
    <w:rsid w:val="0050338A"/>
    <w:rsid w:val="005036F3"/>
    <w:rsid w:val="00510A38"/>
    <w:rsid w:val="00511EBB"/>
    <w:rsid w:val="00521BEB"/>
    <w:rsid w:val="005321A7"/>
    <w:rsid w:val="005367A3"/>
    <w:rsid w:val="0054234A"/>
    <w:rsid w:val="005423F9"/>
    <w:rsid w:val="00543344"/>
    <w:rsid w:val="00544494"/>
    <w:rsid w:val="005467BF"/>
    <w:rsid w:val="005504B5"/>
    <w:rsid w:val="00551B2D"/>
    <w:rsid w:val="00551FBE"/>
    <w:rsid w:val="00557368"/>
    <w:rsid w:val="00560326"/>
    <w:rsid w:val="00560FCE"/>
    <w:rsid w:val="00573B79"/>
    <w:rsid w:val="00576E44"/>
    <w:rsid w:val="0058055B"/>
    <w:rsid w:val="00582E36"/>
    <w:rsid w:val="00592AC9"/>
    <w:rsid w:val="005946A7"/>
    <w:rsid w:val="005A3344"/>
    <w:rsid w:val="005A3431"/>
    <w:rsid w:val="005A3D31"/>
    <w:rsid w:val="005A4FE5"/>
    <w:rsid w:val="005B17A4"/>
    <w:rsid w:val="005B2587"/>
    <w:rsid w:val="005B2917"/>
    <w:rsid w:val="005B4AF1"/>
    <w:rsid w:val="005B63B1"/>
    <w:rsid w:val="005C5ECF"/>
    <w:rsid w:val="005C68DA"/>
    <w:rsid w:val="005D4518"/>
    <w:rsid w:val="005D5845"/>
    <w:rsid w:val="005D7BBF"/>
    <w:rsid w:val="005D7F35"/>
    <w:rsid w:val="005E2E70"/>
    <w:rsid w:val="005E6289"/>
    <w:rsid w:val="005F304C"/>
    <w:rsid w:val="005F3CF1"/>
    <w:rsid w:val="005F3EB0"/>
    <w:rsid w:val="00602554"/>
    <w:rsid w:val="006025E8"/>
    <w:rsid w:val="00603AE7"/>
    <w:rsid w:val="0061729D"/>
    <w:rsid w:val="0062179A"/>
    <w:rsid w:val="0062242E"/>
    <w:rsid w:val="00623188"/>
    <w:rsid w:val="00626A84"/>
    <w:rsid w:val="00632B21"/>
    <w:rsid w:val="00634883"/>
    <w:rsid w:val="006444A3"/>
    <w:rsid w:val="00652C5E"/>
    <w:rsid w:val="00653410"/>
    <w:rsid w:val="00660460"/>
    <w:rsid w:val="0066439B"/>
    <w:rsid w:val="00664B50"/>
    <w:rsid w:val="006652EC"/>
    <w:rsid w:val="0066771F"/>
    <w:rsid w:val="00672514"/>
    <w:rsid w:val="00674E2A"/>
    <w:rsid w:val="00675E2C"/>
    <w:rsid w:val="00677122"/>
    <w:rsid w:val="0068073D"/>
    <w:rsid w:val="00683820"/>
    <w:rsid w:val="00690D55"/>
    <w:rsid w:val="00691124"/>
    <w:rsid w:val="00691EA9"/>
    <w:rsid w:val="00693790"/>
    <w:rsid w:val="006944BF"/>
    <w:rsid w:val="00694818"/>
    <w:rsid w:val="00694FE5"/>
    <w:rsid w:val="00697221"/>
    <w:rsid w:val="006A088D"/>
    <w:rsid w:val="006A1525"/>
    <w:rsid w:val="006A42E8"/>
    <w:rsid w:val="006A7705"/>
    <w:rsid w:val="006B53C9"/>
    <w:rsid w:val="006B576F"/>
    <w:rsid w:val="006C06FD"/>
    <w:rsid w:val="006C27D1"/>
    <w:rsid w:val="006C5EE5"/>
    <w:rsid w:val="006D192D"/>
    <w:rsid w:val="006D2BA7"/>
    <w:rsid w:val="006D5D1B"/>
    <w:rsid w:val="006D66CF"/>
    <w:rsid w:val="006E202A"/>
    <w:rsid w:val="006E4A12"/>
    <w:rsid w:val="006E5196"/>
    <w:rsid w:val="006F1ADF"/>
    <w:rsid w:val="006F2950"/>
    <w:rsid w:val="006F3593"/>
    <w:rsid w:val="006F5553"/>
    <w:rsid w:val="006F60BD"/>
    <w:rsid w:val="006F7703"/>
    <w:rsid w:val="00711A9A"/>
    <w:rsid w:val="00714157"/>
    <w:rsid w:val="00714B77"/>
    <w:rsid w:val="0071529B"/>
    <w:rsid w:val="007159ED"/>
    <w:rsid w:val="00720349"/>
    <w:rsid w:val="00724611"/>
    <w:rsid w:val="00726B70"/>
    <w:rsid w:val="007305F1"/>
    <w:rsid w:val="00737D98"/>
    <w:rsid w:val="00746B1D"/>
    <w:rsid w:val="007553B8"/>
    <w:rsid w:val="0075789A"/>
    <w:rsid w:val="00763761"/>
    <w:rsid w:val="007652B1"/>
    <w:rsid w:val="007658A9"/>
    <w:rsid w:val="007701DA"/>
    <w:rsid w:val="00770C4E"/>
    <w:rsid w:val="00772B7F"/>
    <w:rsid w:val="00774221"/>
    <w:rsid w:val="00775513"/>
    <w:rsid w:val="00780299"/>
    <w:rsid w:val="0078042F"/>
    <w:rsid w:val="00781825"/>
    <w:rsid w:val="0078323E"/>
    <w:rsid w:val="00785DBE"/>
    <w:rsid w:val="00787670"/>
    <w:rsid w:val="0079361D"/>
    <w:rsid w:val="00794822"/>
    <w:rsid w:val="00794C9C"/>
    <w:rsid w:val="0079550E"/>
    <w:rsid w:val="007A0628"/>
    <w:rsid w:val="007A36E6"/>
    <w:rsid w:val="007A5140"/>
    <w:rsid w:val="007A6124"/>
    <w:rsid w:val="007B00B5"/>
    <w:rsid w:val="007B0FA0"/>
    <w:rsid w:val="007B611E"/>
    <w:rsid w:val="007C00FD"/>
    <w:rsid w:val="007C1988"/>
    <w:rsid w:val="007C4442"/>
    <w:rsid w:val="007C4E10"/>
    <w:rsid w:val="007D0A4B"/>
    <w:rsid w:val="007D0EFC"/>
    <w:rsid w:val="007D3EC6"/>
    <w:rsid w:val="007D3EE5"/>
    <w:rsid w:val="007D456F"/>
    <w:rsid w:val="007D673D"/>
    <w:rsid w:val="007D7A19"/>
    <w:rsid w:val="007E1B2A"/>
    <w:rsid w:val="007F1982"/>
    <w:rsid w:val="007F204E"/>
    <w:rsid w:val="007F44BC"/>
    <w:rsid w:val="00804928"/>
    <w:rsid w:val="008115F5"/>
    <w:rsid w:val="0081213E"/>
    <w:rsid w:val="00816182"/>
    <w:rsid w:val="00817068"/>
    <w:rsid w:val="0082538B"/>
    <w:rsid w:val="008274AE"/>
    <w:rsid w:val="00831B30"/>
    <w:rsid w:val="008332C4"/>
    <w:rsid w:val="00834CDA"/>
    <w:rsid w:val="00837F20"/>
    <w:rsid w:val="00845FBC"/>
    <w:rsid w:val="0085164D"/>
    <w:rsid w:val="00857AF8"/>
    <w:rsid w:val="00865303"/>
    <w:rsid w:val="00873CF3"/>
    <w:rsid w:val="00882835"/>
    <w:rsid w:val="00886CCE"/>
    <w:rsid w:val="00891241"/>
    <w:rsid w:val="00894FCB"/>
    <w:rsid w:val="008A75F3"/>
    <w:rsid w:val="008B0758"/>
    <w:rsid w:val="008B27F9"/>
    <w:rsid w:val="008B2C3B"/>
    <w:rsid w:val="008C370B"/>
    <w:rsid w:val="008D1F79"/>
    <w:rsid w:val="008D2107"/>
    <w:rsid w:val="008D4524"/>
    <w:rsid w:val="008E09CC"/>
    <w:rsid w:val="008E1152"/>
    <w:rsid w:val="008E16E4"/>
    <w:rsid w:val="008E1D18"/>
    <w:rsid w:val="008E3075"/>
    <w:rsid w:val="008E57BF"/>
    <w:rsid w:val="008E5D30"/>
    <w:rsid w:val="008F5641"/>
    <w:rsid w:val="008F66B8"/>
    <w:rsid w:val="008F6850"/>
    <w:rsid w:val="0090671B"/>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8751D"/>
    <w:rsid w:val="009923B3"/>
    <w:rsid w:val="00995999"/>
    <w:rsid w:val="009A2C4C"/>
    <w:rsid w:val="009A32D7"/>
    <w:rsid w:val="009A5AE2"/>
    <w:rsid w:val="009A6BA4"/>
    <w:rsid w:val="009B367C"/>
    <w:rsid w:val="009B3C44"/>
    <w:rsid w:val="009C3F58"/>
    <w:rsid w:val="009C7B40"/>
    <w:rsid w:val="009D0B34"/>
    <w:rsid w:val="009D12BA"/>
    <w:rsid w:val="009D3874"/>
    <w:rsid w:val="009D3884"/>
    <w:rsid w:val="009D5BDD"/>
    <w:rsid w:val="009E065F"/>
    <w:rsid w:val="009E36C5"/>
    <w:rsid w:val="009E788F"/>
    <w:rsid w:val="009F206D"/>
    <w:rsid w:val="009F70FE"/>
    <w:rsid w:val="00A03A74"/>
    <w:rsid w:val="00A056BC"/>
    <w:rsid w:val="00A120AF"/>
    <w:rsid w:val="00A15309"/>
    <w:rsid w:val="00A1583E"/>
    <w:rsid w:val="00A16F7E"/>
    <w:rsid w:val="00A20BD5"/>
    <w:rsid w:val="00A20F58"/>
    <w:rsid w:val="00A2142C"/>
    <w:rsid w:val="00A24BB5"/>
    <w:rsid w:val="00A26115"/>
    <w:rsid w:val="00A31A9B"/>
    <w:rsid w:val="00A32FF4"/>
    <w:rsid w:val="00A331F4"/>
    <w:rsid w:val="00A33984"/>
    <w:rsid w:val="00A33F49"/>
    <w:rsid w:val="00A46304"/>
    <w:rsid w:val="00A475FF"/>
    <w:rsid w:val="00A5573A"/>
    <w:rsid w:val="00A5705E"/>
    <w:rsid w:val="00A60026"/>
    <w:rsid w:val="00A61F2C"/>
    <w:rsid w:val="00A64A43"/>
    <w:rsid w:val="00A66875"/>
    <w:rsid w:val="00A67EE4"/>
    <w:rsid w:val="00A724F2"/>
    <w:rsid w:val="00A7257A"/>
    <w:rsid w:val="00A74BAE"/>
    <w:rsid w:val="00A76142"/>
    <w:rsid w:val="00A87998"/>
    <w:rsid w:val="00A90973"/>
    <w:rsid w:val="00A94496"/>
    <w:rsid w:val="00A95B50"/>
    <w:rsid w:val="00A97905"/>
    <w:rsid w:val="00AA0323"/>
    <w:rsid w:val="00AA2728"/>
    <w:rsid w:val="00AA478D"/>
    <w:rsid w:val="00AA612E"/>
    <w:rsid w:val="00AB06F5"/>
    <w:rsid w:val="00AB0877"/>
    <w:rsid w:val="00AB6BE8"/>
    <w:rsid w:val="00AC44F9"/>
    <w:rsid w:val="00AD1110"/>
    <w:rsid w:val="00AD3AAD"/>
    <w:rsid w:val="00AF656A"/>
    <w:rsid w:val="00AF6F40"/>
    <w:rsid w:val="00B024A8"/>
    <w:rsid w:val="00B03A8B"/>
    <w:rsid w:val="00B101E7"/>
    <w:rsid w:val="00B13E77"/>
    <w:rsid w:val="00B15D1A"/>
    <w:rsid w:val="00B17C7A"/>
    <w:rsid w:val="00B224AF"/>
    <w:rsid w:val="00B30D5E"/>
    <w:rsid w:val="00B32D12"/>
    <w:rsid w:val="00B32D71"/>
    <w:rsid w:val="00B3506D"/>
    <w:rsid w:val="00B40410"/>
    <w:rsid w:val="00B50778"/>
    <w:rsid w:val="00B52326"/>
    <w:rsid w:val="00B5642E"/>
    <w:rsid w:val="00B62C61"/>
    <w:rsid w:val="00B64340"/>
    <w:rsid w:val="00B65814"/>
    <w:rsid w:val="00B73A28"/>
    <w:rsid w:val="00B7469E"/>
    <w:rsid w:val="00B76F04"/>
    <w:rsid w:val="00B77531"/>
    <w:rsid w:val="00B91A33"/>
    <w:rsid w:val="00B923EE"/>
    <w:rsid w:val="00B92958"/>
    <w:rsid w:val="00B93DA5"/>
    <w:rsid w:val="00B974ED"/>
    <w:rsid w:val="00BA0B9F"/>
    <w:rsid w:val="00BA47D9"/>
    <w:rsid w:val="00BA6376"/>
    <w:rsid w:val="00BA674C"/>
    <w:rsid w:val="00BA7ABE"/>
    <w:rsid w:val="00BA7F17"/>
    <w:rsid w:val="00BB2868"/>
    <w:rsid w:val="00BB7B1A"/>
    <w:rsid w:val="00BC0342"/>
    <w:rsid w:val="00BD3839"/>
    <w:rsid w:val="00BD5A64"/>
    <w:rsid w:val="00BD5DCB"/>
    <w:rsid w:val="00BD7779"/>
    <w:rsid w:val="00BE0F9E"/>
    <w:rsid w:val="00BE1AD5"/>
    <w:rsid w:val="00BE344A"/>
    <w:rsid w:val="00BE59A9"/>
    <w:rsid w:val="00BE764F"/>
    <w:rsid w:val="00BF3CC1"/>
    <w:rsid w:val="00BF7AEA"/>
    <w:rsid w:val="00C001F3"/>
    <w:rsid w:val="00C04F6E"/>
    <w:rsid w:val="00C0513D"/>
    <w:rsid w:val="00C12EF8"/>
    <w:rsid w:val="00C13A09"/>
    <w:rsid w:val="00C14309"/>
    <w:rsid w:val="00C17614"/>
    <w:rsid w:val="00C22BA7"/>
    <w:rsid w:val="00C230B0"/>
    <w:rsid w:val="00C24318"/>
    <w:rsid w:val="00C30570"/>
    <w:rsid w:val="00C30C67"/>
    <w:rsid w:val="00C31C0D"/>
    <w:rsid w:val="00C323D1"/>
    <w:rsid w:val="00C35E5A"/>
    <w:rsid w:val="00C4169A"/>
    <w:rsid w:val="00C444D7"/>
    <w:rsid w:val="00C463BB"/>
    <w:rsid w:val="00C5044F"/>
    <w:rsid w:val="00C50A11"/>
    <w:rsid w:val="00C63309"/>
    <w:rsid w:val="00C63E35"/>
    <w:rsid w:val="00C65689"/>
    <w:rsid w:val="00C7029D"/>
    <w:rsid w:val="00C77FC3"/>
    <w:rsid w:val="00C82483"/>
    <w:rsid w:val="00C83199"/>
    <w:rsid w:val="00C8330C"/>
    <w:rsid w:val="00C840A5"/>
    <w:rsid w:val="00C855F8"/>
    <w:rsid w:val="00C85648"/>
    <w:rsid w:val="00C866CC"/>
    <w:rsid w:val="00C926EB"/>
    <w:rsid w:val="00C9356F"/>
    <w:rsid w:val="00C946B7"/>
    <w:rsid w:val="00C9531E"/>
    <w:rsid w:val="00C968A3"/>
    <w:rsid w:val="00CA12A1"/>
    <w:rsid w:val="00CA2CE6"/>
    <w:rsid w:val="00CA4E78"/>
    <w:rsid w:val="00CA6E15"/>
    <w:rsid w:val="00CB3CBB"/>
    <w:rsid w:val="00CB45ED"/>
    <w:rsid w:val="00CB53CC"/>
    <w:rsid w:val="00CC0AB9"/>
    <w:rsid w:val="00CC1A94"/>
    <w:rsid w:val="00CC6FF7"/>
    <w:rsid w:val="00CD00F5"/>
    <w:rsid w:val="00CD0FCA"/>
    <w:rsid w:val="00CD17B0"/>
    <w:rsid w:val="00CD2757"/>
    <w:rsid w:val="00CD2A3E"/>
    <w:rsid w:val="00CD2AC2"/>
    <w:rsid w:val="00CD3B5F"/>
    <w:rsid w:val="00CD4060"/>
    <w:rsid w:val="00CD484C"/>
    <w:rsid w:val="00CE1D42"/>
    <w:rsid w:val="00CE24E7"/>
    <w:rsid w:val="00CE26FA"/>
    <w:rsid w:val="00CE2762"/>
    <w:rsid w:val="00CE4E93"/>
    <w:rsid w:val="00CE7F42"/>
    <w:rsid w:val="00CF27C3"/>
    <w:rsid w:val="00CF37A0"/>
    <w:rsid w:val="00CF4A30"/>
    <w:rsid w:val="00CF52B8"/>
    <w:rsid w:val="00D001B4"/>
    <w:rsid w:val="00D01CF0"/>
    <w:rsid w:val="00D01FE0"/>
    <w:rsid w:val="00D04633"/>
    <w:rsid w:val="00D1079D"/>
    <w:rsid w:val="00D139E9"/>
    <w:rsid w:val="00D14E4C"/>
    <w:rsid w:val="00D15B8C"/>
    <w:rsid w:val="00D16442"/>
    <w:rsid w:val="00D169C8"/>
    <w:rsid w:val="00D22764"/>
    <w:rsid w:val="00D2462C"/>
    <w:rsid w:val="00D2550E"/>
    <w:rsid w:val="00D32A49"/>
    <w:rsid w:val="00D34300"/>
    <w:rsid w:val="00D3432A"/>
    <w:rsid w:val="00D40269"/>
    <w:rsid w:val="00D42546"/>
    <w:rsid w:val="00D451EE"/>
    <w:rsid w:val="00D47182"/>
    <w:rsid w:val="00D47C6A"/>
    <w:rsid w:val="00D500D1"/>
    <w:rsid w:val="00D503A6"/>
    <w:rsid w:val="00D514DF"/>
    <w:rsid w:val="00D53C6F"/>
    <w:rsid w:val="00D54B37"/>
    <w:rsid w:val="00D57140"/>
    <w:rsid w:val="00D6079A"/>
    <w:rsid w:val="00D703A2"/>
    <w:rsid w:val="00D7205A"/>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51C0"/>
    <w:rsid w:val="00DB7BB8"/>
    <w:rsid w:val="00DC2BE4"/>
    <w:rsid w:val="00DC6B6C"/>
    <w:rsid w:val="00DD038B"/>
    <w:rsid w:val="00DD2BD9"/>
    <w:rsid w:val="00DD4A37"/>
    <w:rsid w:val="00DD4D95"/>
    <w:rsid w:val="00DD658C"/>
    <w:rsid w:val="00DE00AD"/>
    <w:rsid w:val="00DE7DE2"/>
    <w:rsid w:val="00DF3C34"/>
    <w:rsid w:val="00DF4C57"/>
    <w:rsid w:val="00DF4CEC"/>
    <w:rsid w:val="00E00727"/>
    <w:rsid w:val="00E01601"/>
    <w:rsid w:val="00E0527C"/>
    <w:rsid w:val="00E06C6A"/>
    <w:rsid w:val="00E11BB5"/>
    <w:rsid w:val="00E258CD"/>
    <w:rsid w:val="00E33E5B"/>
    <w:rsid w:val="00E414AC"/>
    <w:rsid w:val="00E41B95"/>
    <w:rsid w:val="00E50280"/>
    <w:rsid w:val="00E534D7"/>
    <w:rsid w:val="00E54015"/>
    <w:rsid w:val="00E574DD"/>
    <w:rsid w:val="00E602F7"/>
    <w:rsid w:val="00E62B93"/>
    <w:rsid w:val="00E62E27"/>
    <w:rsid w:val="00E7025F"/>
    <w:rsid w:val="00E71B24"/>
    <w:rsid w:val="00E73025"/>
    <w:rsid w:val="00E74301"/>
    <w:rsid w:val="00E76066"/>
    <w:rsid w:val="00E7746D"/>
    <w:rsid w:val="00E8632C"/>
    <w:rsid w:val="00E92BB6"/>
    <w:rsid w:val="00E93D63"/>
    <w:rsid w:val="00EA1EC6"/>
    <w:rsid w:val="00EA4634"/>
    <w:rsid w:val="00EB0843"/>
    <w:rsid w:val="00EB3397"/>
    <w:rsid w:val="00EC4420"/>
    <w:rsid w:val="00ED505D"/>
    <w:rsid w:val="00EE1210"/>
    <w:rsid w:val="00EE1F49"/>
    <w:rsid w:val="00EE30A5"/>
    <w:rsid w:val="00EE50CB"/>
    <w:rsid w:val="00F16D1E"/>
    <w:rsid w:val="00F20640"/>
    <w:rsid w:val="00F2203C"/>
    <w:rsid w:val="00F27A63"/>
    <w:rsid w:val="00F307CC"/>
    <w:rsid w:val="00F35ED8"/>
    <w:rsid w:val="00F37E36"/>
    <w:rsid w:val="00F400C2"/>
    <w:rsid w:val="00F44836"/>
    <w:rsid w:val="00F44B14"/>
    <w:rsid w:val="00F471AE"/>
    <w:rsid w:val="00F47DC7"/>
    <w:rsid w:val="00F53A53"/>
    <w:rsid w:val="00F54074"/>
    <w:rsid w:val="00F572BC"/>
    <w:rsid w:val="00F61248"/>
    <w:rsid w:val="00F61864"/>
    <w:rsid w:val="00F65FA4"/>
    <w:rsid w:val="00F67A35"/>
    <w:rsid w:val="00F70C87"/>
    <w:rsid w:val="00F729D3"/>
    <w:rsid w:val="00F72D9C"/>
    <w:rsid w:val="00F73934"/>
    <w:rsid w:val="00F80447"/>
    <w:rsid w:val="00F82BAF"/>
    <w:rsid w:val="00F8537F"/>
    <w:rsid w:val="00F869ED"/>
    <w:rsid w:val="00F901D1"/>
    <w:rsid w:val="00F96402"/>
    <w:rsid w:val="00F97754"/>
    <w:rsid w:val="00FA2385"/>
    <w:rsid w:val="00FA7131"/>
    <w:rsid w:val="00FB1AC6"/>
    <w:rsid w:val="00FB7DDB"/>
    <w:rsid w:val="00FC0FBD"/>
    <w:rsid w:val="00FC14A2"/>
    <w:rsid w:val="00FC4D0B"/>
    <w:rsid w:val="00FC6E90"/>
    <w:rsid w:val="00FC785E"/>
    <w:rsid w:val="00FD79B3"/>
    <w:rsid w:val="00FE1F36"/>
    <w:rsid w:val="00FE37DC"/>
    <w:rsid w:val="00FE6E11"/>
    <w:rsid w:val="00FF0668"/>
    <w:rsid w:val="00FF0754"/>
    <w:rsid w:val="00FF242C"/>
    <w:rsid w:val="00FF40B7"/>
    <w:rsid w:val="00FF4E66"/>
    <w:rsid w:val="00FF5534"/>
    <w:rsid w:val="00FF5D37"/>
    <w:rsid w:val="794E8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8240D"/>
  <w15:docId w15:val="{CB694C66-14F5-4781-984C-42EA31EB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A599CA-8904-4CC5-9031-9B04B7170E8E}">
  <ds:schemaRefs>
    <ds:schemaRef ds:uri="http://schemas.openxmlformats.org/officeDocument/2006/bibliography"/>
  </ds:schemaRefs>
</ds:datastoreItem>
</file>

<file path=customXml/itemProps2.xml><?xml version="1.0" encoding="utf-8"?>
<ds:datastoreItem xmlns:ds="http://schemas.openxmlformats.org/officeDocument/2006/customXml" ds:itemID="{8FA56FDB-278F-43ED-89E0-2461F2923884}">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D2ADCA95-BA89-464A-BEEB-326AA5D20C38}">
  <ds:schemaRefs>
    <ds:schemaRef ds:uri="http://schemas.microsoft.com/sharepoint/v3/contenttype/forms"/>
  </ds:schemaRefs>
</ds:datastoreItem>
</file>

<file path=customXml/itemProps4.xml><?xml version="1.0" encoding="utf-8"?>
<ds:datastoreItem xmlns:ds="http://schemas.openxmlformats.org/officeDocument/2006/customXml" ds:itemID="{831E402F-30F3-43AC-B68B-84EF088BDA39}"/>
</file>

<file path=docProps/app.xml><?xml version="1.0" encoding="utf-8"?>
<Properties xmlns="http://schemas.openxmlformats.org/officeDocument/2006/extended-properties" xmlns:vt="http://schemas.openxmlformats.org/officeDocument/2006/docPropsVTypes">
  <Template>Normal.dotm</Template>
  <TotalTime>25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Heather Raven</cp:lastModifiedBy>
  <cp:revision>7</cp:revision>
  <cp:lastPrinted>2022-05-03T22:11:00Z</cp:lastPrinted>
  <dcterms:created xsi:type="dcterms:W3CDTF">2022-05-09T21:51:00Z</dcterms:created>
  <dcterms:modified xsi:type="dcterms:W3CDTF">2022-05-09T22:14:00Z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